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84"/>
        <w:gridCol w:w="8443"/>
      </w:tblGrid>
      <w:tr w:rsidR="008A4F04" w:rsidTr="007D6FC3">
        <w:trPr>
          <w:trHeight w:val="9255"/>
        </w:trPr>
        <w:tc>
          <w:tcPr>
            <w:tcW w:w="5778" w:type="dxa"/>
          </w:tcPr>
          <w:p w:rsidR="008A4F04" w:rsidRPr="008A4F04" w:rsidRDefault="008A4F04" w:rsidP="007D6FC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A4F04">
              <w:rPr>
                <w:rFonts w:ascii="TimesNewRomanPSMT" w:hAnsi="TimesNewRomanPSMT"/>
                <w:color w:val="000000"/>
                <w:sz w:val="28"/>
                <w:szCs w:val="28"/>
                <w:lang w:val="en-US"/>
              </w:rPr>
              <w:t>Residents of the United States should refer to United States Public Law 103-286 (House</w:t>
            </w:r>
            <w:r>
              <w:rPr>
                <w:lang w:val="en-US"/>
              </w:rPr>
              <w:t xml:space="preserve"> </w:t>
            </w:r>
            <w:r w:rsidRPr="008A4F04">
              <w:rPr>
                <w:rFonts w:ascii="TimesNewRomanPSMT" w:hAnsi="TimesNewRomanPSMT"/>
                <w:color w:val="000000"/>
                <w:sz w:val="28"/>
                <w:szCs w:val="28"/>
                <w:lang w:val="en-US"/>
              </w:rPr>
              <w:t>Resolution</w:t>
            </w:r>
            <w:r>
              <w:rPr>
                <w:lang w:val="en-US"/>
              </w:rPr>
              <w:t xml:space="preserve"> </w:t>
            </w:r>
            <w:r w:rsidRPr="008A4F04">
              <w:rPr>
                <w:rFonts w:ascii="TimesNewRomanPSMT" w:hAnsi="TimesNewRomanPSMT"/>
                <w:color w:val="000000"/>
                <w:sz w:val="28"/>
                <w:szCs w:val="28"/>
                <w:lang w:val="en-US"/>
              </w:rPr>
              <w:t>1873) which states that payments made to victims of Nazi persecution should be disregarded</w:t>
            </w:r>
            <w:r>
              <w:rPr>
                <w:lang w:val="en-US"/>
              </w:rPr>
              <w:t xml:space="preserve"> </w:t>
            </w:r>
            <w:r w:rsidRPr="008A4F04">
              <w:rPr>
                <w:rFonts w:ascii="TimesNewRomanPSMT" w:hAnsi="TimesNewRomanPSMT"/>
                <w:color w:val="000000"/>
                <w:sz w:val="28"/>
                <w:szCs w:val="28"/>
                <w:lang w:val="en-US"/>
              </w:rPr>
              <w:t>in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en-US"/>
              </w:rPr>
              <w:t xml:space="preserve"> </w:t>
            </w:r>
            <w:r w:rsidRPr="008A4F04">
              <w:rPr>
                <w:rFonts w:ascii="TimesNewRomanPSMT" w:hAnsi="TimesNewRomanPSMT"/>
                <w:color w:val="000000"/>
                <w:sz w:val="28"/>
                <w:szCs w:val="28"/>
                <w:lang w:val="en-US"/>
              </w:rPr>
              <w:t>determining eligibility for benefits or services based on need.</w:t>
            </w:r>
          </w:p>
          <w:p w:rsidR="008A4F04" w:rsidRPr="008A4F04" w:rsidRDefault="008A4F04" w:rsidP="007D6FC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All Holocaust compensation and restitution payments in the United States are</w:t>
            </w:r>
            <w:r>
              <w:rPr>
                <w:lang w:val="en-US"/>
              </w:rPr>
              <w:t xml:space="preserve"> </w:t>
            </w:r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protected by 1994 federal legislation that excludes them from calculations</w:t>
            </w:r>
            <w:r>
              <w:rPr>
                <w:lang w:val="en-US"/>
              </w:rPr>
              <w:t xml:space="preserve"> </w:t>
            </w:r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relating to eligibility for federal benefits. The legislation (</w:t>
            </w:r>
            <w:proofErr w:type="spellStart"/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h.r.</w:t>
            </w:r>
            <w:proofErr w:type="spellEnd"/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 xml:space="preserve"> 1873 or public law</w:t>
            </w:r>
          </w:p>
          <w:p w:rsidR="008A4F04" w:rsidRPr="008A4F04" w:rsidRDefault="008A4F04" w:rsidP="007D6FC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103-286) stated that payments made to individuals because of their status as</w:t>
            </w:r>
            <w:r>
              <w:rPr>
                <w:lang w:val="en-US"/>
              </w:rPr>
              <w:t xml:space="preserve"> </w:t>
            </w:r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victims of Nazi persecution are to be excluded from income and resources</w:t>
            </w:r>
            <w:r>
              <w:rPr>
                <w:lang w:val="en-US"/>
              </w:rPr>
              <w:t xml:space="preserve"> </w:t>
            </w:r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in determining both eligibility for and the amount of benefits or services to</w:t>
            </w:r>
            <w:r>
              <w:rPr>
                <w:lang w:val="en-US"/>
              </w:rPr>
              <w:t xml:space="preserve"> </w:t>
            </w:r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be provided under any Federal or federally assisted program which provides</w:t>
            </w:r>
          </w:p>
          <w:p w:rsidR="008A4F04" w:rsidRPr="00FF1174" w:rsidRDefault="008A4F04" w:rsidP="007D6FC3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color w:val="4E261C"/>
                <w:sz w:val="28"/>
                <w:szCs w:val="28"/>
                <w:lang w:val="en-US"/>
              </w:rPr>
            </w:pPr>
            <w:proofErr w:type="gramStart"/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benefits</w:t>
            </w:r>
            <w:proofErr w:type="gramEnd"/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 xml:space="preserve"> or services based on need such as, but not limited to, Medicaid,</w:t>
            </w:r>
            <w:r>
              <w:rPr>
                <w:lang w:val="en-US"/>
              </w:rPr>
              <w:t xml:space="preserve"> </w:t>
            </w:r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Supplemental Security Income, food stamps and Federally subsidized Housing</w:t>
            </w:r>
            <w:r>
              <w:rPr>
                <w:lang w:val="en-US"/>
              </w:rPr>
              <w:t xml:space="preserve"> </w:t>
            </w:r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 xml:space="preserve">programs. Additionally, Holocaust compensation payments are not taxable. </w:t>
            </w:r>
          </w:p>
          <w:p w:rsidR="008A4F04" w:rsidRPr="008A4F04" w:rsidRDefault="008A4F04" w:rsidP="007D6FC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77859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See</w:t>
            </w:r>
            <w:r w:rsidRPr="00877859">
              <w:rPr>
                <w:lang w:val="en-US"/>
              </w:rPr>
              <w:t xml:space="preserve"> </w:t>
            </w:r>
            <w:r w:rsidRPr="008A4F04">
              <w:rPr>
                <w:rFonts w:ascii="ArialMT" w:hAnsi="ArialMT"/>
                <w:color w:val="4E261C"/>
                <w:sz w:val="28"/>
                <w:szCs w:val="28"/>
                <w:lang w:val="en-US"/>
              </w:rPr>
              <w:t>t</w:t>
            </w:r>
            <w:r w:rsidRPr="008A4F04">
              <w:rPr>
                <w:rFonts w:ascii="ArialMT" w:hAnsi="ArialMT"/>
                <w:color w:val="000000"/>
                <w:sz w:val="28"/>
                <w:szCs w:val="28"/>
                <w:lang w:val="en-US"/>
              </w:rPr>
              <w:t>he Claims Conference website at</w:t>
            </w:r>
            <w:r w:rsidR="00877859"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A4F04">
              <w:rPr>
                <w:rFonts w:ascii="Arial-BoldMT" w:hAnsi="Arial-BoldMT"/>
                <w:b/>
                <w:bCs/>
                <w:color w:val="000000"/>
                <w:sz w:val="28"/>
                <w:szCs w:val="28"/>
                <w:lang w:val="en-US"/>
              </w:rPr>
              <w:t>Payment Benefits</w:t>
            </w:r>
            <w:r w:rsidR="0016690A">
              <w:rPr>
                <w:rFonts w:ascii="Arial-BoldMT" w:hAnsi="Arial-BoldMT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4F04">
              <w:rPr>
                <w:rFonts w:ascii="ArialMT" w:hAnsi="ArialMT"/>
                <w:color w:val="000000"/>
                <w:sz w:val="28"/>
                <w:szCs w:val="28"/>
                <w:lang w:val="en-US"/>
              </w:rPr>
              <w:t xml:space="preserve">and </w:t>
            </w:r>
            <w:r w:rsidRPr="008A4F04">
              <w:rPr>
                <w:rFonts w:ascii="Arial-BoldMT" w:hAnsi="Arial-BoldMT"/>
                <w:b/>
                <w:bCs/>
                <w:color w:val="000000"/>
                <w:sz w:val="28"/>
                <w:szCs w:val="28"/>
                <w:lang w:val="en-US"/>
              </w:rPr>
              <w:t>Tax Exemptions</w:t>
            </w:r>
            <w:r w:rsidRPr="008A4F04">
              <w:rPr>
                <w:rFonts w:ascii="ArialMT" w:hAnsi="ArialMT"/>
                <w:color w:val="000000"/>
                <w:sz w:val="28"/>
                <w:szCs w:val="28"/>
                <w:lang w:val="en-US"/>
              </w:rPr>
              <w:t>.</w:t>
            </w:r>
          </w:p>
          <w:p w:rsidR="008A4F04" w:rsidRPr="00877859" w:rsidRDefault="008A4F04" w:rsidP="007D6FC3">
            <w:pPr>
              <w:rPr>
                <w:lang w:val="en-US"/>
              </w:rPr>
            </w:pPr>
            <w:r w:rsidRPr="00877859">
              <w:rPr>
                <w:lang w:val="en-US"/>
              </w:rPr>
              <w:t xml:space="preserve"> </w:t>
            </w:r>
          </w:p>
        </w:tc>
        <w:tc>
          <w:tcPr>
            <w:tcW w:w="284" w:type="dxa"/>
          </w:tcPr>
          <w:p w:rsidR="008A4F04" w:rsidRPr="008A4F04" w:rsidRDefault="008A4F04" w:rsidP="007D6FC3">
            <w:pPr>
              <w:rPr>
                <w:lang w:val="en-US"/>
              </w:rPr>
            </w:pPr>
          </w:p>
        </w:tc>
        <w:tc>
          <w:tcPr>
            <w:tcW w:w="8443" w:type="dxa"/>
          </w:tcPr>
          <w:p w:rsidR="008A4F04" w:rsidRDefault="008A4F04" w:rsidP="007D6FC3">
            <w:r>
              <w:t xml:space="preserve">Жители США должны </w:t>
            </w:r>
            <w:r w:rsidR="00885058">
              <w:t>руководствоваться</w:t>
            </w:r>
            <w:r>
              <w:t xml:space="preserve"> </w:t>
            </w:r>
            <w:r w:rsidR="00885058">
              <w:t>Закон</w:t>
            </w:r>
            <w:r w:rsidR="00FF1174">
              <w:t>о</w:t>
            </w:r>
            <w:r w:rsidR="00885058">
              <w:t>м</w:t>
            </w:r>
            <w:r>
              <w:t xml:space="preserve"> </w:t>
            </w:r>
            <w:r w:rsidR="000242E1">
              <w:t xml:space="preserve">США  </w:t>
            </w:r>
            <w:r>
              <w:t>103-286 (</w:t>
            </w:r>
            <w:r w:rsidR="00877859">
              <w:t>Резолюция</w:t>
            </w:r>
            <w:r>
              <w:t xml:space="preserve"> 1873), который утверждает, что </w:t>
            </w:r>
            <w:r w:rsidR="00FF1174">
              <w:t>выплаты</w:t>
            </w:r>
            <w:r>
              <w:t xml:space="preserve"> жертвам нацистских преследований</w:t>
            </w:r>
            <w:r w:rsidR="008A69CF">
              <w:t xml:space="preserve"> не </w:t>
            </w:r>
            <w:r>
              <w:t xml:space="preserve"> должны учитываться в определения права</w:t>
            </w:r>
            <w:r w:rsidR="007D6FC3">
              <w:t xml:space="preserve"> на получение пособий или услуг</w:t>
            </w:r>
            <w:r w:rsidR="000242E1">
              <w:t xml:space="preserve"> всем,  нуждающимся в них</w:t>
            </w:r>
            <w:r>
              <w:t>.</w:t>
            </w:r>
          </w:p>
          <w:p w:rsidR="00877859" w:rsidRDefault="00B7179E" w:rsidP="007D6FC3">
            <w:r>
              <w:t xml:space="preserve">Все компенсационные  и реституционные </w:t>
            </w:r>
            <w:r w:rsidR="008A4F04">
              <w:t xml:space="preserve"> платежи</w:t>
            </w:r>
            <w:r>
              <w:t xml:space="preserve">, связанные с </w:t>
            </w:r>
            <w:r w:rsidR="008A4F04">
              <w:t xml:space="preserve"> </w:t>
            </w:r>
            <w:r>
              <w:t xml:space="preserve">Холокостом,  </w:t>
            </w:r>
            <w:r w:rsidR="008A4F04">
              <w:t xml:space="preserve">в Соединенных Штатах защищены </w:t>
            </w:r>
            <w:r>
              <w:t xml:space="preserve"> федеральным законодательством 1994</w:t>
            </w:r>
            <w:r w:rsidR="008A4F04">
              <w:t xml:space="preserve">, </w:t>
            </w:r>
            <w:r w:rsidR="000242E1">
              <w:t>которое</w:t>
            </w:r>
            <w:r w:rsidR="008A4F04">
              <w:t xml:space="preserve"> исключает их из расчетов</w:t>
            </w:r>
            <w:r w:rsidR="00CF67AF">
              <w:t>,</w:t>
            </w:r>
            <w:r w:rsidR="007D6FC3">
              <w:t xml:space="preserve"> относящих</w:t>
            </w:r>
            <w:r w:rsidR="008A4F04">
              <w:t>ся к правомочности федера</w:t>
            </w:r>
            <w:r w:rsidR="00CF67AF">
              <w:t>льных льгот. Законодательство (</w:t>
            </w:r>
            <w:r w:rsidR="00CF67AF">
              <w:rPr>
                <w:lang w:val="en-US"/>
              </w:rPr>
              <w:t>h</w:t>
            </w:r>
            <w:r w:rsidR="008A4F04">
              <w:t>.</w:t>
            </w:r>
            <w:r w:rsidR="00C43C0B">
              <w:rPr>
                <w:lang w:val="en-US"/>
              </w:rPr>
              <w:t>r</w:t>
            </w:r>
            <w:r w:rsidR="008A4F04">
              <w:t xml:space="preserve">. 1 873 или </w:t>
            </w:r>
            <w:r w:rsidR="00C43C0B" w:rsidRPr="00C43C0B">
              <w:t xml:space="preserve"> </w:t>
            </w:r>
            <w:r w:rsidR="00C43C0B">
              <w:t>Закон</w:t>
            </w:r>
            <w:r w:rsidR="008A4F04">
              <w:t xml:space="preserve">  103-286) </w:t>
            </w:r>
            <w:r w:rsidR="00C43C0B">
              <w:t>установило</w:t>
            </w:r>
            <w:r w:rsidR="008A4F04">
              <w:t>, что выплаты</w:t>
            </w:r>
            <w:r w:rsidR="00FE7138">
              <w:t xml:space="preserve"> </w:t>
            </w:r>
            <w:r w:rsidR="008A4F04">
              <w:t xml:space="preserve"> физическим лицам по причине их статуса </w:t>
            </w:r>
            <w:r w:rsidR="00C43C0B">
              <w:t>жертв</w:t>
            </w:r>
            <w:r w:rsidR="007D6FC3">
              <w:t xml:space="preserve"> нацистских преследований</w:t>
            </w:r>
            <w:r w:rsidR="008A4F04">
              <w:t xml:space="preserve"> должны быть исключены из доходов и ресурсов </w:t>
            </w:r>
            <w:r w:rsidR="00FE7138">
              <w:t>при</w:t>
            </w:r>
            <w:r w:rsidR="00C43C0B">
              <w:t xml:space="preserve"> определении как </w:t>
            </w:r>
            <w:r w:rsidR="00FE7138">
              <w:t xml:space="preserve"> права</w:t>
            </w:r>
            <w:r w:rsidR="008A4F04">
              <w:t xml:space="preserve"> на получение</w:t>
            </w:r>
            <w:r w:rsidR="00C43C0B">
              <w:t xml:space="preserve">, так и </w:t>
            </w:r>
            <w:r w:rsidR="008A4F04">
              <w:t xml:space="preserve"> размер</w:t>
            </w:r>
            <w:r w:rsidR="00FE7138">
              <w:t>а</w:t>
            </w:r>
            <w:r w:rsidR="008A4F04">
              <w:t xml:space="preserve"> пособия или услуг</w:t>
            </w:r>
            <w:r w:rsidR="00FE7138">
              <w:t>,</w:t>
            </w:r>
            <w:r w:rsidR="008A4F04">
              <w:t xml:space="preserve"> предусмотрен</w:t>
            </w:r>
            <w:r w:rsidR="00FE7138">
              <w:t>ных</w:t>
            </w:r>
            <w:r w:rsidR="008A4F04">
              <w:t xml:space="preserve"> </w:t>
            </w:r>
            <w:r w:rsidR="00FE7138">
              <w:t>любой</w:t>
            </w:r>
            <w:r w:rsidR="008A4F04">
              <w:t xml:space="preserve"> федерально</w:t>
            </w:r>
            <w:r w:rsidR="00FE7138">
              <w:t xml:space="preserve">й или федеративной </w:t>
            </w:r>
            <w:r w:rsidR="008A4F04">
              <w:t xml:space="preserve"> </w:t>
            </w:r>
            <w:r w:rsidR="00E26892">
              <w:t>программой помощи</w:t>
            </w:r>
            <w:r w:rsidR="008A4F04">
              <w:t xml:space="preserve">, которая </w:t>
            </w:r>
            <w:r w:rsidR="000242E1">
              <w:t>предоставляет</w:t>
            </w:r>
            <w:r w:rsidR="00E26892">
              <w:t xml:space="preserve"> необходимые </w:t>
            </w:r>
            <w:r w:rsidR="008A4F04">
              <w:t xml:space="preserve"> </w:t>
            </w:r>
            <w:r w:rsidR="00E26892">
              <w:t xml:space="preserve">льготы или услуги </w:t>
            </w:r>
            <w:r w:rsidR="008A4F04">
              <w:t xml:space="preserve"> </w:t>
            </w:r>
            <w:r w:rsidR="00E26892">
              <w:t>такие, как</w:t>
            </w:r>
            <w:r w:rsidR="008A4F04">
              <w:t xml:space="preserve"> </w:t>
            </w:r>
            <w:r w:rsidR="00E26892">
              <w:t>(</w:t>
            </w:r>
            <w:proofErr w:type="gramStart"/>
            <w:r w:rsidR="008A4F04">
              <w:t>но</w:t>
            </w:r>
            <w:proofErr w:type="gramEnd"/>
            <w:r w:rsidR="008A4F04">
              <w:t xml:space="preserve"> не ограничиваясь</w:t>
            </w:r>
            <w:r w:rsidR="00E26892">
              <w:t xml:space="preserve"> ими) </w:t>
            </w:r>
            <w:r w:rsidR="008A4F04">
              <w:t xml:space="preserve"> </w:t>
            </w:r>
            <w:r w:rsidR="00E26892">
              <w:t>медицинская карта,   государственная программа помощи инвалидам</w:t>
            </w:r>
            <w:r w:rsidR="008A4F04">
              <w:t>, продово</w:t>
            </w:r>
            <w:r w:rsidR="00E26892">
              <w:t xml:space="preserve">льственные талоны и федеральные субсидии </w:t>
            </w:r>
            <w:r w:rsidR="008A4F04">
              <w:t xml:space="preserve"> жилья. Кроме того, компенсационные выплаты</w:t>
            </w:r>
            <w:r w:rsidR="000242E1">
              <w:t>, связанные с Холокостом,</w:t>
            </w:r>
            <w:r w:rsidR="008A4F04">
              <w:t xml:space="preserve"> не облагаются налогом. </w:t>
            </w:r>
          </w:p>
          <w:p w:rsidR="008A4F04" w:rsidRDefault="00877859" w:rsidP="007D6FC3">
            <w:r w:rsidRPr="00877859">
              <w:t xml:space="preserve">Посетите веб-сайт </w:t>
            </w:r>
            <w:proofErr w:type="spellStart"/>
            <w:r>
              <w:t>Клаймс</w:t>
            </w:r>
            <w:proofErr w:type="spellEnd"/>
            <w:r>
              <w:t xml:space="preserve"> </w:t>
            </w:r>
            <w:proofErr w:type="spellStart"/>
            <w:r>
              <w:t>Конференс</w:t>
            </w:r>
            <w:proofErr w:type="spellEnd"/>
            <w:r w:rsidR="00B7179E">
              <w:t xml:space="preserve"> </w:t>
            </w:r>
            <w:hyperlink r:id="rId5" w:tgtFrame="_blank" w:history="1">
              <w:r w:rsidR="00B7179E">
                <w:rPr>
                  <w:rStyle w:val="a4"/>
                  <w:rFonts w:ascii="Arial-BoldMT" w:hAnsi="Arial-BoldMT"/>
                  <w:b/>
                  <w:bCs/>
                  <w:sz w:val="28"/>
                  <w:szCs w:val="28"/>
                </w:rPr>
                <w:t>www.claimscon.org</w:t>
              </w:r>
            </w:hyperlink>
            <w:r w:rsidR="00B7179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="00B7179E">
              <w:t>насчет выплат</w:t>
            </w:r>
            <w:r w:rsidRPr="00877859">
              <w:t xml:space="preserve"> пособий </w:t>
            </w:r>
            <w:r>
              <w:t xml:space="preserve">и </w:t>
            </w:r>
            <w:r w:rsidRPr="00877859">
              <w:t>налоговых льгот.</w:t>
            </w:r>
          </w:p>
          <w:p w:rsidR="0016690A" w:rsidRDefault="0016690A" w:rsidP="007D6FC3">
            <w:r w:rsidRPr="0016690A">
              <w:rPr>
                <w:sz w:val="24"/>
                <w:szCs w:val="24"/>
              </w:rPr>
              <w:t>Практика других стран о налоговых льготах</w:t>
            </w:r>
            <w:r>
              <w:t xml:space="preserve"> (полное </w:t>
            </w:r>
            <w:r w:rsidR="00985D18">
              <w:t>или ча</w:t>
            </w:r>
            <w:r>
              <w:t>стичное освобождение) на</w:t>
            </w:r>
            <w:r w:rsidR="00985D18">
              <w:t xml:space="preserve"> компенсационные платежи</w:t>
            </w:r>
            <w:r>
              <w:t xml:space="preserve"> жертвам нацистских преследований: </w:t>
            </w:r>
            <w:hyperlink r:id="rId6" w:history="1">
              <w:r w:rsidRPr="0016690A">
                <w:rPr>
                  <w:rStyle w:val="a4"/>
                </w:rPr>
                <w:t>http://www.claimscon.org/what-we-do/compensation/payments-benefits/tax-exemptions/</w:t>
              </w:r>
            </w:hyperlink>
            <w:r>
              <w:t xml:space="preserve"> .</w:t>
            </w:r>
          </w:p>
          <w:p w:rsidR="0016690A" w:rsidRDefault="0016690A" w:rsidP="007D6FC3">
            <w:r>
              <w:t xml:space="preserve"> </w:t>
            </w:r>
            <w:r w:rsidR="00985D18">
              <w:t xml:space="preserve">Развернутая статья на тему исключения компенсационных платежей из всех других поступлений данному физическому лицу: </w:t>
            </w:r>
            <w:hyperlink r:id="rId7" w:history="1">
              <w:r w:rsidR="00985D18" w:rsidRPr="00985D18">
                <w:rPr>
                  <w:rStyle w:val="a4"/>
                </w:rPr>
                <w:t>http://www.claimscon.org/what-we-do/compensation/payments-benefits/</w:t>
              </w:r>
            </w:hyperlink>
            <w:r w:rsidR="00985D18">
              <w:t xml:space="preserve"> .</w:t>
            </w:r>
          </w:p>
          <w:p w:rsidR="00985D18" w:rsidRPr="00985D18" w:rsidRDefault="00985D18" w:rsidP="007D6FC3">
            <w:r>
              <w:t xml:space="preserve">О выплатах наследникам жертв нацистских преследований: </w:t>
            </w:r>
            <w:hyperlink r:id="rId8" w:history="1">
              <w:r w:rsidRPr="00EE46D8">
                <w:rPr>
                  <w:rStyle w:val="a4"/>
                </w:rPr>
                <w:t>http://www.claimscon.org/what-we-do/compensation/heirs/</w:t>
              </w:r>
            </w:hyperlink>
            <w:r>
              <w:t xml:space="preserve"> .</w:t>
            </w:r>
          </w:p>
        </w:tc>
      </w:tr>
    </w:tbl>
    <w:p w:rsidR="00D14916" w:rsidRPr="007D6FC3" w:rsidRDefault="007D6FC3" w:rsidP="007D6FC3">
      <w:pPr>
        <w:pStyle w:val="a6"/>
      </w:pPr>
      <w:bookmarkStart w:id="0" w:name="_GoBack"/>
      <w:r w:rsidRPr="007D6FC3">
        <w:t>Из законодательства США</w:t>
      </w:r>
      <w:bookmarkEnd w:id="0"/>
    </w:p>
    <w:sectPr w:rsidR="00D14916" w:rsidRPr="007D6FC3" w:rsidSect="007A3D87">
      <w:pgSz w:w="16838" w:h="11906" w:orient="landscape"/>
      <w:pgMar w:top="851" w:right="81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04"/>
    <w:rsid w:val="000242E1"/>
    <w:rsid w:val="0016690A"/>
    <w:rsid w:val="007A3D87"/>
    <w:rsid w:val="007D6FC3"/>
    <w:rsid w:val="00877859"/>
    <w:rsid w:val="00885058"/>
    <w:rsid w:val="008A4F04"/>
    <w:rsid w:val="008A69CF"/>
    <w:rsid w:val="00985D18"/>
    <w:rsid w:val="00AC671C"/>
    <w:rsid w:val="00B7179E"/>
    <w:rsid w:val="00BE727C"/>
    <w:rsid w:val="00C43C0B"/>
    <w:rsid w:val="00CF67AF"/>
    <w:rsid w:val="00D14916"/>
    <w:rsid w:val="00D969B6"/>
    <w:rsid w:val="00E26892"/>
    <w:rsid w:val="00E461BE"/>
    <w:rsid w:val="00FE7138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17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690A"/>
    <w:rPr>
      <w:color w:val="800080" w:themeColor="followed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7D6F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D6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17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690A"/>
    <w:rPr>
      <w:color w:val="800080" w:themeColor="followed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7D6F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D6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0246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2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73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8649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857A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4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56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20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imscon.org/what-we-do/compensation/hei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imscon.org/what-we-do/compensation/payments-benefi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aimscon.org/what-we-do/compensation/payments-benefits/tax-exemptions/%20" TargetMode="External"/><Relationship Id="rId5" Type="http://schemas.openxmlformats.org/officeDocument/2006/relationships/hyperlink" Target="http://www.claimsc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anatoly</dc:creator>
  <cp:lastModifiedBy>anatoly</cp:lastModifiedBy>
  <cp:revision>4</cp:revision>
  <dcterms:created xsi:type="dcterms:W3CDTF">2015-09-02T18:50:00Z</dcterms:created>
  <dcterms:modified xsi:type="dcterms:W3CDTF">2015-09-03T09:18:00Z</dcterms:modified>
</cp:coreProperties>
</file>