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05" w:rsidRPr="00F31F05" w:rsidRDefault="00F31F05" w:rsidP="00F31F05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F31F05">
        <w:rPr>
          <w:rStyle w:val="a8"/>
        </w:rPr>
        <w:t>Происхождение Кровавого</w:t>
      </w:r>
      <w:r w:rsidRPr="00F31F05">
        <w:rPr>
          <w:rStyle w:val="a8"/>
          <w:lang w:eastAsia="ru-RU"/>
        </w:rPr>
        <w:t xml:space="preserve"> навет</w:t>
      </w:r>
      <w:r w:rsidRPr="00F31F05">
        <w:rPr>
          <w:rStyle w:val="a8"/>
        </w:rPr>
        <w:t>а</w:t>
      </w:r>
      <w:r w:rsidRPr="00F31F05">
        <w:rPr>
          <w:rStyle w:val="a8"/>
          <w:lang w:eastAsia="ru-RU"/>
        </w:rPr>
        <w:t> </w:t>
      </w:r>
      <w:r w:rsidRPr="00F31F05">
        <w:rPr>
          <w:rStyle w:val="a8"/>
        </w:rPr>
        <w:t xml:space="preserve"> </w:t>
      </w:r>
      <w:bookmarkStart w:id="0" w:name="_GoBack"/>
      <w:bookmarkEnd w:id="0"/>
      <w:r w:rsidRPr="00F31F05">
        <w:rPr>
          <w:rFonts w:ascii="Times New Roman" w:eastAsia="Times New Roman" w:hAnsi="Times New Roman" w:cs="Times New Roman"/>
          <w:color w:val="FFFFFF"/>
          <w:sz w:val="27"/>
          <w:szCs w:val="27"/>
          <w:bdr w:val="none" w:sz="0" w:space="0" w:color="auto" w:frame="1"/>
          <w:lang w:eastAsia="ru-RU"/>
        </w:rPr>
        <w:t>Средневековья удалось обнаружить исток важнейшего антисемитского мифа</w:t>
      </w:r>
    </w:p>
    <w:p w:rsidR="00F31F05" w:rsidRPr="00F31F05" w:rsidRDefault="00F31F05" w:rsidP="00F31F05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F31F05" w:rsidRPr="00F31F05" w:rsidRDefault="00F31F05" w:rsidP="00F31F05">
      <w:pPr>
        <w:spacing w:line="336" w:lineRule="atLeast"/>
        <w:textAlignment w:val="baseline"/>
        <w:rPr>
          <w:rFonts w:ascii="Arial" w:eastAsia="Times New Roman" w:hAnsi="Arial" w:cs="Arial"/>
          <w:color w:val="262626"/>
          <w:sz w:val="25"/>
          <w:szCs w:val="25"/>
          <w:lang w:eastAsia="ru-RU"/>
        </w:rPr>
      </w:pPr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 xml:space="preserve">Кровавый навет — обвинение евреев в убийстве христиан в ритуальных целях — появился в Европе в Средние века. </w:t>
      </w:r>
      <w:proofErr w:type="gramStart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 xml:space="preserve">Американская исследовательница Эмили </w:t>
      </w:r>
      <w:proofErr w:type="spellStart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Роуз</w:t>
      </w:r>
      <w:proofErr w:type="spellEnd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 xml:space="preserve"> (E.M.</w:t>
      </w:r>
      <w:proofErr w:type="gramEnd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 xml:space="preserve"> </w:t>
      </w:r>
      <w:proofErr w:type="spellStart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Rose</w:t>
      </w:r>
      <w:proofErr w:type="spellEnd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) опубликовала монографию, в которой описала первоисточник этого мрачного антисемитского мифа, на </w:t>
      </w:r>
      <w:proofErr w:type="gramStart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столетия</w:t>
      </w:r>
      <w:proofErr w:type="gramEnd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 xml:space="preserve"> закрепившегося в массовом сознании. По мнению </w:t>
      </w:r>
      <w:proofErr w:type="spellStart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Роуз</w:t>
      </w:r>
      <w:proofErr w:type="spellEnd"/>
      <w:r w:rsidRPr="00F31F05">
        <w:rPr>
          <w:rFonts w:ascii="Arial" w:eastAsia="Times New Roman" w:hAnsi="Arial" w:cs="Arial"/>
          <w:color w:val="262626"/>
          <w:sz w:val="25"/>
          <w:szCs w:val="25"/>
          <w:lang w:eastAsia="ru-RU"/>
        </w:rPr>
        <w:t xml:space="preserve">, все началось в Англии в середине XII века на фоне неудач Второго крестового похода и изнурительной гражданской войны. </w:t>
      </w:r>
    </w:p>
    <w:p w:rsidR="00F31F05" w:rsidRPr="00F31F05" w:rsidRDefault="00F31F05" w:rsidP="00F31F05">
      <w:pPr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Работа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(</w:t>
      </w:r>
      <w:hyperlink r:id="rId5" w:tgtFrame="_blank" w:history="1">
        <w:r w:rsidRPr="00F31F05">
          <w:rPr>
            <w:rFonts w:ascii="Times New Roman" w:eastAsia="Times New Roman" w:hAnsi="Times New Roman" w:cs="Times New Roman"/>
            <w:color w:val="B88B58"/>
            <w:sz w:val="27"/>
            <w:szCs w:val="27"/>
            <w:u w:val="single"/>
            <w:lang w:eastAsia="ru-RU"/>
          </w:rPr>
          <w:t>E.M.</w:t>
        </w:r>
        <w:proofErr w:type="gramEnd"/>
        <w:r w:rsidRPr="00F31F05">
          <w:rPr>
            <w:rFonts w:ascii="Times New Roman" w:eastAsia="Times New Roman" w:hAnsi="Times New Roman" w:cs="Times New Roman"/>
            <w:color w:val="B88B58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F31F05">
          <w:rPr>
            <w:rFonts w:ascii="Times New Roman" w:eastAsia="Times New Roman" w:hAnsi="Times New Roman" w:cs="Times New Roman"/>
            <w:color w:val="B88B58"/>
            <w:sz w:val="27"/>
            <w:szCs w:val="27"/>
            <w:u w:val="single"/>
            <w:lang w:eastAsia="ru-RU"/>
          </w:rPr>
          <w:t>Rose</w:t>
        </w:r>
        <w:proofErr w:type="spellEnd"/>
      </w:hyperlink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) называется «Убийство Уильяма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: происхождение кровавого навета в средневековой Европе» («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The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Murder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of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William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of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Norwich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: </w:t>
      </w:r>
      <w:proofErr w:type="spellStart"/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The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Origins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of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the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Blood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Libel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in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Medieval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Europe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»).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Небольшая книга — 240 страниц текста плюс 160 страниц комментариев и библиографии — вышла в издательстве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Oxford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University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Press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. Необходимо оговориться, что Эмили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 — не первая, кто предположил, что совершенное в 1144 году в городе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преступление стало краеугольным камнем в мифе об убийстве евреями христианских детей; однако именно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нашла документы, которые обнаруживают прозаические мотивы для создания такого сюжета. 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Исследовательнице удалось убедительно ответить на вопрос «Кому выгодно?»: оказывается, эта история помогла оправдать барона, виновного в убийстве богатого еврея, и существенно укрепила авторитет местной церкви. 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 главное, что из практических шагов, предпринятых для достижения краткосрочных целей в конкретной местности, сложился универсальный механизм клеветы и манипуляции, который применялся не только в Западной Европе, но в Центральной и Восточной, включая Россию, а заодно в Передней Азии и на Ближнем Востоке.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История Уильяма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(Вильяма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Норвичского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) стала одним из главных источников панъевропейского антисемитизма.</w:t>
      </w:r>
    </w:p>
    <w:p w:rsidR="00F31F05" w:rsidRPr="00F31F05" w:rsidRDefault="00F31F05" w:rsidP="00F31F05">
      <w:pPr>
        <w:spacing w:before="435" w:after="210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F31F05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* * *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 марте 1144 года в лесу близ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(150 км к северо-востоку от Лондона) было найдено тело подростка. Лесник обнаружил труп в канун Пасхи, мальчик был зарезан, руки его связаны. Погибшего вскоре опознали — им оказался Уильям, 12-летний подмастерье кожевника, мальчик из зажиточной семьи. Никакого следствия не было, подростка похоронили без особых церемоний и, судя по всему, о происшествии забыли. Через шесть лет, в 1150 году,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бенедиктинский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монах Томас из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Монмута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только что приехавший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, приступил к расследованию смерти Уильяма  — в течение следующих 25 лет он добивался канонизации подростка как мученика за веру — и добился ее. Текст жития стал широко известен, и спустя считанные годы после появления «Жизни и страстей Уильяма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» вести о точно таких же убийствах стали приходить из Англии и Франции. Атмосфера в обществе накалилась, и начались массовые казни евреев. В том же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Норидже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в 1190 году были убиты все евреи. До полного изгнания евреев из Англии оставалось ровно сто лет.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Подлинная рукопись Томаса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Монмутского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сохранилась, она хорошо изучена, и еще в XIX веке ее первый издатель заподозрил автора в предвзятости. Эмили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перечитала текст заново, сопоставила его с десятками похожих историй, записанных, в основном, во Франции в XII и начале XIII веков, отыскала все уцелевшие документы, имеющие отношение к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Нориджу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 его жителям в интересующую эпоху, и воссоздала сложную картину жизни английского города спустя сто лет после нормандского завоевания.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Исследовательница задалась двумя вопросами: почему интерес к Уильяму вспыхнул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Норидже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 новой силой через несколько лет после смерти мальчика и зачем Томасу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Монмутскому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понадобился местный святой? Чтобы ответить на оба вопроса, необходимо вспомнить некоторые даты: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— 1096: заложено здание кафедрального собора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Норидже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.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превращается в крупный торговый узел, связывающий Восточную Англию и Нормандию.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— 1135 год: умер английский король Генрих I, сын Вильгельма Завоевателя. Бароны не признали дочь Генриха Матильду королевой и присягнули на верность Стефану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Блуаскому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племяннику Генриха. В Англии началась гражданская война, продлившаяся до 1154 года.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— 1147–1149 годы: состоялся Второй крестовый поход, принесший мало результатов и большие потери.</w:t>
      </w:r>
    </w:p>
    <w:p w:rsidR="00F31F05" w:rsidRPr="00F31F05" w:rsidRDefault="00F31F05" w:rsidP="00F31F05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lastRenderedPageBreak/>
        <w:drawing>
          <wp:inline distT="0" distB="0" distL="0" distR="0">
            <wp:extent cx="6096000" cy="3810000"/>
            <wp:effectExtent l="0" t="0" r="0" b="0"/>
            <wp:docPr id="2" name="Рисунок 2" descr="https://meduza.io/image/attachments/images/000/021/644/small/RNOgzJCYcPKvvNMOM58f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uza.io/image/attachments/images/000/021/644/small/RNOgzJCYcPKvvNMOM58fu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Гражданская война 1135–1154 годов сопровождалась, естественно, грабежами и убийствами. Один из хронистов середины XII столетия, описывая пытки, которым солдаты подвергали жителей, добавлял, что в те годы «Христос и святые спали». Знаменитый барон-разбойник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Жоффруа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Мандевиль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орудовал недалеко от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как раз в 1144-м, в год смерти Уильяма. Насилие, чинившееся баронами, ударило не только по крестьянам и ремесленникам, но и по клиру, у которого отбирали земли, и по купцам, у которых отбирали деньги и товар. Так что смерть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подмастерья на фоне таких бесчинств едва ли могла вызвать долговременный интерес. А когда рыцари со своими отрядами вернулись в Англию после неудачного крестового похода, уже никому не было дела до какого-то ребенка — лишь бы не попасть под горячую руку очередному разоренному барону. Тем не 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менее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некоторые преступления феодалов все-таки доходили до суда. Одно из них, по мнению Эмили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и послужило катализатором для канонизации мальчика Уильяма.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 1149 году рыцарь Симон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, отпрыск обедневшей нормандской семьи, нанял убийц для расправы со своим кредитором-евреем по фамилии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Делесо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.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Делесо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был виднейшим представителем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нориджской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еврейской общины. Также он был связан с банкирами Лондона и других больших городов Англии. Преступление, совершенное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Норидже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было раскрыто без труда: пойманные убийцы сразу же указали на заказчика. Дело дошло до короля Стефана. В Лондоне в 1150 году состоялся суд, на котором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защищал епископ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Нориджа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Уильям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Тюрбевилль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 Нужно отметить, что семья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была тесно связана с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нориджской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епархией и самим епископом.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Тюрбевилль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избрал агрессивную линию защиты: он припомнил историю нераскрытого убийства подмастерья Уильяма и обвинил в его смерти евреев. В пересказе Томаса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Монмутского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ударная часть речи епископа звучала так: «Мы, христиане, не ответим на обвинение евреев [в том, что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Делесо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был убит по приказу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], пока евреи не докажут, что не были причастны к убийству нашего христианского мальчика». Далее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Тюрбевилль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описал картину преступления: якобы представители еврейской общины выманили Уильяма из материнского дома обещанием работы, заточили его в одном из домов, три дня жестоко мучили, а в Страстную пятницу убили и выбросили тело в лесу. Тем, кто не понял намека, епископ прямо объяснил, что евреи убили невинного ребенка так же, как они убили Христа. Благодаря судебной атаке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Тюрбевилля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получилось, что Симон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невольно отомстил за мальчика, расправившись с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Делесо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 Участники суда внезапно обнаружили, что от убийства еврея рыцарем они перешли к расследованию убийства мальчика евреями.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На суде были зачитаны показания трех свидетелей: богатого горожанина, крещеного еврея и служанки. Примечательно, что горожанин к моменту суда был мертв, и суду представили содержание его предсмертной исповеди — в нарушение тайны исповеди. Имя служанки не было названо на суде, но ей приписали красочный рассказ о том, как сквозь приоткрытую дверь она увидела мучения бедного Уильяма. А крещеный еврей повторил несколько легенд о том, как евреи, сговорившись, предавали крестоносцев в руки сарацин. В результате суд не нашел в себе сил противостоять напору епископа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 почел за лучшее отложить слушание по делу Симона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до лучших времен. Времена эти, судя по всему, так и не наступили, потому что и 20 лет спустя этот достойный рыцарь появлялся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восточноанглийских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хрониках как зачинщик беспорядков.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Расследование убийства Уильяма тоже не продвинулось, и обвиняемых в нем не появилось, однако репутация еврейской общины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оказалась испорчена, многие ее члены решили уехать из города, не дожидаясь развития событий. Те, кто остались, как говорилось выше, были убиты в 1190 году.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Тело Уильяма эксгумировали по настоянию епископа и перезахоронили возле кафедрального собора. Сам епископ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Тюрбевилль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прекрасно отдавал себе отчет в том, что у него появилась возможность обрести святого патрона для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: у быстро растущего, зажиточного города не было своего небесного покровителя. Лондонский суд вызвал немалый интерес к судьбе мальчика, оставалось облечь его историю в житийную форму. 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Это было поручено Томасу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Монмутскому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, который к 1154 году написал первый, короткий вариант «Жизни </w:t>
      </w: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 xml:space="preserve">и страстей св. Уильяма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», а в последующие 20 лет расширил его до пяти книг.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Повторное перезахоронение останков Уильяма привлекло в город паломников, и мальчик превратился в настоящего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местночтимого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святого, чего и добивался епископ. Так епископ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Тюрбевилль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своим участием в лондонском процессе над Симоном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Новерсом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сумел решить две задачи: защитил рыцаря от обвинения в убийстве и приобрел столь нужного для своей епархии святого мученика.</w:t>
      </w:r>
    </w:p>
    <w:p w:rsidR="00F31F05" w:rsidRPr="00F31F05" w:rsidRDefault="00F31F05" w:rsidP="00F31F05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lastRenderedPageBreak/>
        <w:drawing>
          <wp:inline distT="0" distB="0" distL="0" distR="0">
            <wp:extent cx="6096000" cy="7934325"/>
            <wp:effectExtent l="0" t="0" r="0" b="9525"/>
            <wp:docPr id="1" name="Рисунок 1" descr="https://meduza.io/image/attachments/images/000/021/646/small/KOs8dnLzPJ3Ri1gKigMe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uza.io/image/attachments/images/000/021/646/small/KOs8dnLzPJ3Ri1gKigMeY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05" w:rsidRPr="00F31F05" w:rsidRDefault="00F31F05" w:rsidP="00F31F05">
      <w:pPr>
        <w:spacing w:after="0" w:line="336" w:lineRule="atLeast"/>
        <w:textAlignment w:val="baseline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F31F05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Святая Агата, держащая щипцы, Святой Уильям </w:t>
      </w:r>
      <w:proofErr w:type="spellStart"/>
      <w:r w:rsidRPr="00F31F05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Нориджский</w:t>
      </w:r>
      <w:proofErr w:type="spellEnd"/>
      <w:r w:rsidRPr="00F31F05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 держит в правой руке гвозди</w:t>
      </w:r>
    </w:p>
    <w:p w:rsidR="00F31F05" w:rsidRPr="00F31F05" w:rsidRDefault="00F31F05" w:rsidP="00F31F05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i/>
          <w:iCs/>
          <w:color w:val="999999"/>
          <w:sz w:val="27"/>
          <w:szCs w:val="27"/>
          <w:lang w:eastAsia="ru-RU"/>
        </w:rPr>
        <w:t>Фото: Панель с алтарной перегородки, 1450 - 1470 / Музей Виктории и Альберта</w:t>
      </w:r>
    </w:p>
    <w:p w:rsidR="00F31F05" w:rsidRPr="00F31F05" w:rsidRDefault="00F31F05" w:rsidP="00F31F05">
      <w:pPr>
        <w:spacing w:before="435" w:after="210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F31F05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lastRenderedPageBreak/>
        <w:t>* * *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Эмили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в своей монографии рассматривает не только ряд схожих историй, в которых убийство молодого христианина приписывалось местной еврейской общине, но и механику распространения сюжета об Уильяме. 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Несмотря на все войны, пожары, разрушения и прочие несчастья, произошедшие за последние 800 с лишним лет, сохранилось большое количество документов, свидетельствующих о путешествиях епископа де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Тюрбевилля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 его участии в различных собраниях клира по обе стороны Ла-Манша.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Например, по церковным делам епископ оказался в 1170 году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Блуа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 Именно в 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Блуа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в 1171 году произошло убийство юноши, в преступлении обвинили евреев и без суда сожгли от 30 до 40 человек, некоторых предварительно жестоко пытали. Едва ли это просто совпадение: скорее всего, епископ поделился успешным опытом канонизации мученика Уильяма, а уж местные власти нашли удобный способ раскрыть преступление и извлечь из него политическую выгоду. Точно так же развивались события и в других городах.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 книге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есть место анализу народной религиозности и популярных суеверий XII века, но нигде автор не позволяет себе объяснить происходившие события коллективным бессознательным, врожденной ксенофобией, массовой истерией и другими штампами из арсенала популярных журналов.</w:t>
      </w:r>
    </w:p>
    <w:p w:rsidR="00F31F05" w:rsidRPr="00F31F05" w:rsidRDefault="00F31F05" w:rsidP="00F31F05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 начале книги исследовательница специально оговаривает, что ее работа ограничена хронологическими рамками, что она не делает далеко идущих выводов и сознательно останавливается только на англо-французских материалах, не углубляясь в похожие события в германских землях или в Восточной Европе. Несмотря на эти ограничения, Эмили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удалось освободить от пропагандистской шелухи событие, отголоски которого слышались по всей Европе и Ближнему Востоку столетия 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спустя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</w:t>
      </w:r>
    </w:p>
    <w:p w:rsidR="00F31F05" w:rsidRPr="00F31F05" w:rsidRDefault="00F31F05" w:rsidP="00F31F05">
      <w:pPr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Говоря о работе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 нельзя не отметить вот что: исследовательница пользовалась одним единственным методом исследования — она читала источники, читала добросовестно и непредвзято. А добросовестность и непредвзятость — редкие добродетели, и поэтому так сложно рассеивать заблуждения. В 1911 году Владимир Короленко в своем знаменитом обращении «К русскому обществу. </w:t>
      </w:r>
      <w:hyperlink r:id="rId8" w:tgtFrame="_blank" w:history="1">
        <w:r w:rsidRPr="00F31F05">
          <w:rPr>
            <w:rFonts w:ascii="Times New Roman" w:eastAsia="Times New Roman" w:hAnsi="Times New Roman" w:cs="Times New Roman"/>
            <w:color w:val="B88B58"/>
            <w:sz w:val="27"/>
            <w:szCs w:val="27"/>
            <w:u w:val="single"/>
            <w:lang w:eastAsia="ru-RU"/>
          </w:rPr>
          <w:t>По поводу кровавого навета на евреев</w:t>
        </w:r>
      </w:hyperlink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» в связи с </w:t>
      </w:r>
      <w:hyperlink r:id="rId9" w:tgtFrame="_blank" w:history="1">
        <w:r w:rsidRPr="00F31F05">
          <w:rPr>
            <w:rFonts w:ascii="Times New Roman" w:eastAsia="Times New Roman" w:hAnsi="Times New Roman" w:cs="Times New Roman"/>
            <w:color w:val="B88B58"/>
            <w:sz w:val="27"/>
            <w:szCs w:val="27"/>
            <w:u w:val="single"/>
            <w:lang w:eastAsia="ru-RU"/>
          </w:rPr>
          <w:t>делом Бейлиса</w:t>
        </w:r>
      </w:hyperlink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 писал: «Многие папы, духовные и светские правители клеймили злое 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суеверие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 раз навсегда запрещали властям придавать расследованию убийств вероисповедное значение. У нас такой указ был издан 6-го марта 1817 г. императором Александром I</w:t>
      </w:r>
      <w:proofErr w:type="gram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… Н</w:t>
      </w:r>
      <w:proofErr w:type="gram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о указы тлеют в архивах, а суеверия живучи». Против суеверий есть только одно оружие — просвещение, и книга Эмили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Роуз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об Уильяме </w:t>
      </w:r>
      <w:proofErr w:type="spellStart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Нориджском</w:t>
      </w:r>
      <w:proofErr w:type="spellEnd"/>
      <w:r w:rsidRPr="00F31F0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как нельзя лучше подходит для борьбы с невежеством.</w:t>
      </w:r>
    </w:p>
    <w:p w:rsidR="000C23F2" w:rsidRDefault="000C23F2"/>
    <w:sectPr w:rsidR="000C23F2" w:rsidSect="00F31F0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05"/>
    <w:rsid w:val="000C23F2"/>
    <w:rsid w:val="00764B7F"/>
    <w:rsid w:val="00F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title-first">
    <w:name w:val="newstitle-first"/>
    <w:basedOn w:val="a0"/>
    <w:rsid w:val="00F31F05"/>
  </w:style>
  <w:style w:type="character" w:customStyle="1" w:styleId="apple-converted-space">
    <w:name w:val="apple-converted-space"/>
    <w:basedOn w:val="a0"/>
    <w:rsid w:val="00F31F05"/>
  </w:style>
  <w:style w:type="character" w:customStyle="1" w:styleId="newstitle-second">
    <w:name w:val="newstitle-second"/>
    <w:basedOn w:val="a0"/>
    <w:rsid w:val="00F31F05"/>
  </w:style>
  <w:style w:type="character" w:customStyle="1" w:styleId="materialmeta-published">
    <w:name w:val="materialmeta-published"/>
    <w:basedOn w:val="a0"/>
    <w:rsid w:val="00F31F05"/>
  </w:style>
  <w:style w:type="character" w:customStyle="1" w:styleId="materialmeta-source">
    <w:name w:val="materialmeta-source"/>
    <w:basedOn w:val="a0"/>
    <w:rsid w:val="00F31F05"/>
  </w:style>
  <w:style w:type="character" w:customStyle="1" w:styleId="specialbanner-title">
    <w:name w:val="specialbanner-title"/>
    <w:basedOn w:val="a0"/>
    <w:rsid w:val="00F31F05"/>
  </w:style>
  <w:style w:type="character" w:styleId="a3">
    <w:name w:val="Hyperlink"/>
    <w:basedOn w:val="a0"/>
    <w:uiPriority w:val="99"/>
    <w:semiHidden/>
    <w:unhideWhenUsed/>
    <w:rsid w:val="00F31F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0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31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1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title-first">
    <w:name w:val="newstitle-first"/>
    <w:basedOn w:val="a0"/>
    <w:rsid w:val="00F31F05"/>
  </w:style>
  <w:style w:type="character" w:customStyle="1" w:styleId="apple-converted-space">
    <w:name w:val="apple-converted-space"/>
    <w:basedOn w:val="a0"/>
    <w:rsid w:val="00F31F05"/>
  </w:style>
  <w:style w:type="character" w:customStyle="1" w:styleId="newstitle-second">
    <w:name w:val="newstitle-second"/>
    <w:basedOn w:val="a0"/>
    <w:rsid w:val="00F31F05"/>
  </w:style>
  <w:style w:type="character" w:customStyle="1" w:styleId="materialmeta-published">
    <w:name w:val="materialmeta-published"/>
    <w:basedOn w:val="a0"/>
    <w:rsid w:val="00F31F05"/>
  </w:style>
  <w:style w:type="character" w:customStyle="1" w:styleId="materialmeta-source">
    <w:name w:val="materialmeta-source"/>
    <w:basedOn w:val="a0"/>
    <w:rsid w:val="00F31F05"/>
  </w:style>
  <w:style w:type="character" w:customStyle="1" w:styleId="specialbanner-title">
    <w:name w:val="specialbanner-title"/>
    <w:basedOn w:val="a0"/>
    <w:rsid w:val="00F31F05"/>
  </w:style>
  <w:style w:type="character" w:styleId="a3">
    <w:name w:val="Hyperlink"/>
    <w:basedOn w:val="a0"/>
    <w:uiPriority w:val="99"/>
    <w:semiHidden/>
    <w:unhideWhenUsed/>
    <w:rsid w:val="00F31F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0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31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1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410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5098">
                  <w:marLeft w:val="0"/>
                  <w:marRight w:val="0"/>
                  <w:marTop w:val="0"/>
                  <w:marBottom w:val="0"/>
                  <w:divBdr>
                    <w:top w:val="single" w:sz="24" w:space="0" w:color="B88B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9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25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n-knigi.lib.ru/JUDAICA/Korol_Beili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eroseautho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B%D0%BE_%D0%91%D0%B5%D0%B9%D0%BB%D0%B8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2016-02-24T18:39:00Z</dcterms:created>
  <dcterms:modified xsi:type="dcterms:W3CDTF">2016-02-24T18:43:00Z</dcterms:modified>
</cp:coreProperties>
</file>